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D92" w:rsidRPr="009B67E2" w:rsidRDefault="006C2318">
      <w:pPr>
        <w:rPr>
          <w:rFonts w:asciiTheme="majorEastAsia" w:eastAsiaTheme="majorEastAsia" w:hAnsiTheme="majorEastAsia"/>
          <w:b/>
          <w:sz w:val="24"/>
          <w:szCs w:val="24"/>
        </w:rPr>
      </w:pPr>
      <w:r w:rsidRPr="009B67E2">
        <w:rPr>
          <w:rFonts w:asciiTheme="majorEastAsia" w:eastAsiaTheme="majorEastAsia" w:hAnsiTheme="majorEastAsia" w:hint="eastAsia"/>
          <w:b/>
          <w:sz w:val="24"/>
          <w:szCs w:val="24"/>
        </w:rPr>
        <w:t>【事例１】</w:t>
      </w:r>
    </w:p>
    <w:tbl>
      <w:tblPr>
        <w:tblStyle w:val="a3"/>
        <w:tblpPr w:leftFromText="142" w:rightFromText="142" w:vertAnchor="text" w:horzAnchor="margin" w:tblpY="75"/>
        <w:tblW w:w="9067" w:type="dxa"/>
        <w:tblLook w:val="04A0" w:firstRow="1" w:lastRow="0" w:firstColumn="1" w:lastColumn="0" w:noHBand="0" w:noVBand="1"/>
      </w:tblPr>
      <w:tblGrid>
        <w:gridCol w:w="1838"/>
        <w:gridCol w:w="7229"/>
      </w:tblGrid>
      <w:tr w:rsidR="006C2318" w:rsidTr="005A7270">
        <w:trPr>
          <w:trHeight w:val="907"/>
        </w:trPr>
        <w:tc>
          <w:tcPr>
            <w:tcW w:w="1838" w:type="dxa"/>
            <w:vAlign w:val="center"/>
          </w:tcPr>
          <w:p w:rsidR="006C2318" w:rsidRPr="009B67E2" w:rsidRDefault="006C2318" w:rsidP="006C2318">
            <w:pPr>
              <w:jc w:val="center"/>
              <w:rPr>
                <w:rFonts w:asciiTheme="majorEastAsia" w:eastAsiaTheme="majorEastAsia" w:hAnsiTheme="majorEastAsia"/>
                <w:b/>
              </w:rPr>
            </w:pPr>
            <w:r w:rsidRPr="001F3832">
              <w:rPr>
                <w:rFonts w:asciiTheme="majorEastAsia" w:eastAsiaTheme="majorEastAsia" w:hAnsiTheme="majorEastAsia" w:hint="eastAsia"/>
                <w:b/>
                <w:spacing w:val="30"/>
                <w:kern w:val="0"/>
                <w:fitText w:val="1470" w:id="1220243712"/>
              </w:rPr>
              <w:t>申出の内</w:t>
            </w:r>
            <w:r w:rsidRPr="001F3832">
              <w:rPr>
                <w:rFonts w:asciiTheme="majorEastAsia" w:eastAsiaTheme="majorEastAsia" w:hAnsiTheme="majorEastAsia" w:hint="eastAsia"/>
                <w:b/>
                <w:spacing w:val="52"/>
                <w:kern w:val="0"/>
                <w:fitText w:val="1470" w:id="1220243712"/>
              </w:rPr>
              <w:t>容</w:t>
            </w:r>
          </w:p>
        </w:tc>
        <w:tc>
          <w:tcPr>
            <w:tcW w:w="7229" w:type="dxa"/>
            <w:vAlign w:val="center"/>
          </w:tcPr>
          <w:p w:rsidR="00D768CE" w:rsidRDefault="009B67E2" w:rsidP="006425B1">
            <w:pPr>
              <w:ind w:firstLineChars="100" w:firstLine="210"/>
            </w:pPr>
            <w:r>
              <w:rPr>
                <w:rFonts w:hint="eastAsia"/>
              </w:rPr>
              <w:t>家屋</w:t>
            </w:r>
            <w:r w:rsidR="004D614B">
              <w:rPr>
                <w:rFonts w:hint="eastAsia"/>
              </w:rPr>
              <w:t>について</w:t>
            </w:r>
            <w:r>
              <w:rPr>
                <w:rFonts w:hint="eastAsia"/>
              </w:rPr>
              <w:t>、</w:t>
            </w:r>
            <w:r w:rsidR="004D614B">
              <w:rPr>
                <w:rFonts w:hint="eastAsia"/>
              </w:rPr>
              <w:t>現況及び実勢を踏まえた評価額となっていない</w:t>
            </w:r>
            <w:r>
              <w:rPr>
                <w:rFonts w:hint="eastAsia"/>
              </w:rPr>
              <w:t>。</w:t>
            </w:r>
            <w:r w:rsidR="00D768CE">
              <w:rPr>
                <w:rFonts w:hint="eastAsia"/>
              </w:rPr>
              <w:t>現況を踏まえた不動産鑑定評価額をもって家屋の価格とすべき。</w:t>
            </w:r>
          </w:p>
        </w:tc>
      </w:tr>
      <w:tr w:rsidR="006C2318" w:rsidTr="005A7270">
        <w:trPr>
          <w:trHeight w:val="907"/>
        </w:trPr>
        <w:tc>
          <w:tcPr>
            <w:tcW w:w="1838" w:type="dxa"/>
            <w:vAlign w:val="center"/>
          </w:tcPr>
          <w:p w:rsidR="006C2318" w:rsidRPr="009B67E2" w:rsidRDefault="006C2318" w:rsidP="006C2318">
            <w:pPr>
              <w:jc w:val="center"/>
              <w:rPr>
                <w:rFonts w:asciiTheme="majorEastAsia" w:eastAsiaTheme="majorEastAsia" w:hAnsiTheme="majorEastAsia"/>
                <w:b/>
              </w:rPr>
            </w:pPr>
            <w:r w:rsidRPr="009B67E2">
              <w:rPr>
                <w:rFonts w:asciiTheme="majorEastAsia" w:eastAsiaTheme="majorEastAsia" w:hAnsiTheme="majorEastAsia" w:hint="eastAsia"/>
                <w:b/>
              </w:rPr>
              <w:t>委員会における</w:t>
            </w:r>
          </w:p>
          <w:p w:rsidR="006C2318" w:rsidRPr="009B67E2" w:rsidRDefault="006C2318" w:rsidP="006C2318">
            <w:pPr>
              <w:jc w:val="center"/>
              <w:rPr>
                <w:rFonts w:asciiTheme="majorEastAsia" w:eastAsiaTheme="majorEastAsia" w:hAnsiTheme="majorEastAsia"/>
                <w:b/>
              </w:rPr>
            </w:pPr>
            <w:r w:rsidRPr="001F3832">
              <w:rPr>
                <w:rFonts w:asciiTheme="majorEastAsia" w:eastAsiaTheme="majorEastAsia" w:hAnsiTheme="majorEastAsia" w:hint="eastAsia"/>
                <w:b/>
                <w:spacing w:val="90"/>
                <w:kern w:val="0"/>
                <w:fitText w:val="1470" w:id="1220243713"/>
              </w:rPr>
              <w:t>決定内</w:t>
            </w:r>
            <w:r w:rsidRPr="001F3832">
              <w:rPr>
                <w:rFonts w:asciiTheme="majorEastAsia" w:eastAsiaTheme="majorEastAsia" w:hAnsiTheme="majorEastAsia" w:hint="eastAsia"/>
                <w:b/>
                <w:spacing w:val="15"/>
                <w:kern w:val="0"/>
                <w:fitText w:val="1470" w:id="1220243713"/>
              </w:rPr>
              <w:t>容</w:t>
            </w:r>
          </w:p>
        </w:tc>
        <w:tc>
          <w:tcPr>
            <w:tcW w:w="7229" w:type="dxa"/>
            <w:vAlign w:val="center"/>
          </w:tcPr>
          <w:p w:rsidR="006C2318" w:rsidRDefault="004D614B" w:rsidP="009B67E2">
            <w:pPr>
              <w:ind w:firstLineChars="100" w:firstLine="210"/>
            </w:pPr>
            <w:r>
              <w:rPr>
                <w:rFonts w:hint="eastAsia"/>
              </w:rPr>
              <w:t>棄却</w:t>
            </w:r>
          </w:p>
        </w:tc>
      </w:tr>
      <w:tr w:rsidR="006C2318" w:rsidTr="005A7270">
        <w:trPr>
          <w:trHeight w:val="5102"/>
        </w:trPr>
        <w:tc>
          <w:tcPr>
            <w:tcW w:w="1838" w:type="dxa"/>
            <w:vAlign w:val="center"/>
          </w:tcPr>
          <w:p w:rsidR="006C2318" w:rsidRDefault="006C2318" w:rsidP="006C2318">
            <w:pPr>
              <w:jc w:val="center"/>
              <w:rPr>
                <w:rFonts w:asciiTheme="majorEastAsia" w:eastAsiaTheme="majorEastAsia" w:hAnsiTheme="majorEastAsia"/>
                <w:b/>
                <w:kern w:val="0"/>
              </w:rPr>
            </w:pPr>
            <w:r w:rsidRPr="001F3832">
              <w:rPr>
                <w:rFonts w:asciiTheme="majorEastAsia" w:eastAsiaTheme="majorEastAsia" w:hAnsiTheme="majorEastAsia" w:hint="eastAsia"/>
                <w:b/>
                <w:spacing w:val="30"/>
                <w:kern w:val="0"/>
                <w:fitText w:val="1470" w:id="1220243714"/>
              </w:rPr>
              <w:t>決定の理</w:t>
            </w:r>
            <w:r w:rsidRPr="001F3832">
              <w:rPr>
                <w:rFonts w:asciiTheme="majorEastAsia" w:eastAsiaTheme="majorEastAsia" w:hAnsiTheme="majorEastAsia" w:hint="eastAsia"/>
                <w:b/>
                <w:spacing w:val="52"/>
                <w:kern w:val="0"/>
                <w:fitText w:val="1470" w:id="1220243714"/>
              </w:rPr>
              <w:t>由</w:t>
            </w:r>
          </w:p>
          <w:p w:rsidR="00F15E72" w:rsidRPr="009B67E2" w:rsidRDefault="00F15E72" w:rsidP="006C2318">
            <w:pPr>
              <w:jc w:val="center"/>
              <w:rPr>
                <w:rFonts w:asciiTheme="majorEastAsia" w:eastAsiaTheme="majorEastAsia" w:hAnsiTheme="majorEastAsia"/>
                <w:b/>
              </w:rPr>
            </w:pPr>
            <w:r>
              <w:rPr>
                <w:rFonts w:asciiTheme="majorEastAsia" w:eastAsiaTheme="majorEastAsia" w:hAnsiTheme="majorEastAsia" w:hint="eastAsia"/>
                <w:b/>
                <w:kern w:val="0"/>
              </w:rPr>
              <w:t>（抜粋）</w:t>
            </w:r>
          </w:p>
        </w:tc>
        <w:tc>
          <w:tcPr>
            <w:tcW w:w="7229" w:type="dxa"/>
            <w:vAlign w:val="center"/>
          </w:tcPr>
          <w:p w:rsidR="003402EF" w:rsidRPr="005A7270" w:rsidRDefault="00D768CE" w:rsidP="003402EF">
            <w:pPr>
              <w:ind w:firstLineChars="100" w:firstLine="210"/>
              <w:rPr>
                <w:rFonts w:asciiTheme="minorEastAsia" w:hAnsiTheme="minorEastAsia"/>
              </w:rPr>
            </w:pPr>
            <w:r w:rsidRPr="005A7270">
              <w:rPr>
                <w:rFonts w:asciiTheme="minorEastAsia" w:hAnsiTheme="minorEastAsia" w:hint="eastAsia"/>
              </w:rPr>
              <w:t>市長は地方税法</w:t>
            </w:r>
            <w:r w:rsidR="00350833" w:rsidRPr="005A7270">
              <w:rPr>
                <w:rFonts w:asciiTheme="minorEastAsia" w:hAnsiTheme="minorEastAsia" w:hint="eastAsia"/>
              </w:rPr>
              <w:t>第</w:t>
            </w:r>
            <w:r w:rsidR="005A7270" w:rsidRPr="005A7270">
              <w:rPr>
                <w:rFonts w:asciiTheme="minorEastAsia" w:hAnsiTheme="minorEastAsia" w:hint="eastAsia"/>
              </w:rPr>
              <w:t>403</w:t>
            </w:r>
            <w:r w:rsidR="00350833" w:rsidRPr="005A7270">
              <w:rPr>
                <w:rFonts w:asciiTheme="minorEastAsia" w:hAnsiTheme="minorEastAsia" w:hint="eastAsia"/>
              </w:rPr>
              <w:t>条第１項</w:t>
            </w:r>
            <w:r w:rsidRPr="005A7270">
              <w:rPr>
                <w:rFonts w:asciiTheme="minorEastAsia" w:hAnsiTheme="minorEastAsia" w:hint="eastAsia"/>
              </w:rPr>
              <w:t>において固定資産評価基準（昭和</w:t>
            </w:r>
            <w:r w:rsidR="005A7270" w:rsidRPr="005A7270">
              <w:rPr>
                <w:rFonts w:asciiTheme="minorEastAsia" w:hAnsiTheme="minorEastAsia" w:hint="eastAsia"/>
              </w:rPr>
              <w:t>38</w:t>
            </w:r>
            <w:r w:rsidRPr="005A7270">
              <w:rPr>
                <w:rFonts w:asciiTheme="minorEastAsia" w:hAnsiTheme="minorEastAsia" w:hint="eastAsia"/>
              </w:rPr>
              <w:t>年自治省告示第</w:t>
            </w:r>
            <w:r w:rsidR="005A7270" w:rsidRPr="005A7270">
              <w:rPr>
                <w:rFonts w:asciiTheme="minorEastAsia" w:hAnsiTheme="minorEastAsia" w:hint="eastAsia"/>
              </w:rPr>
              <w:t>158</w:t>
            </w:r>
            <w:r w:rsidRPr="005A7270">
              <w:rPr>
                <w:rFonts w:asciiTheme="minorEastAsia" w:hAnsiTheme="minorEastAsia" w:hint="eastAsia"/>
              </w:rPr>
              <w:t>号</w:t>
            </w:r>
            <w:r w:rsidR="003402EF" w:rsidRPr="005A7270">
              <w:rPr>
                <w:rFonts w:asciiTheme="minorEastAsia" w:hAnsiTheme="minorEastAsia" w:hint="eastAsia"/>
              </w:rPr>
              <w:t>。以下「評価基準」という。</w:t>
            </w:r>
            <w:r w:rsidRPr="005A7270">
              <w:rPr>
                <w:rFonts w:asciiTheme="minorEastAsia" w:hAnsiTheme="minorEastAsia" w:hint="eastAsia"/>
              </w:rPr>
              <w:t>）に</w:t>
            </w:r>
            <w:r w:rsidR="006751D7" w:rsidRPr="005A7270">
              <w:rPr>
                <w:rFonts w:asciiTheme="minorEastAsia" w:hAnsiTheme="minorEastAsia" w:hint="eastAsia"/>
              </w:rPr>
              <w:t>基づく再建築価格方式によ</w:t>
            </w:r>
            <w:r w:rsidRPr="005A7270">
              <w:rPr>
                <w:rFonts w:asciiTheme="minorEastAsia" w:hAnsiTheme="minorEastAsia" w:hint="eastAsia"/>
              </w:rPr>
              <w:t>って固定資産の価格を決定しなければなら</w:t>
            </w:r>
            <w:r w:rsidR="003402EF" w:rsidRPr="005A7270">
              <w:rPr>
                <w:rFonts w:asciiTheme="minorEastAsia" w:hAnsiTheme="minorEastAsia" w:hint="eastAsia"/>
              </w:rPr>
              <w:t>ないとされている。</w:t>
            </w:r>
          </w:p>
          <w:p w:rsidR="000E7799" w:rsidRPr="005A7270" w:rsidRDefault="006751D7" w:rsidP="000E7799">
            <w:pPr>
              <w:ind w:firstLineChars="100" w:firstLine="210"/>
              <w:rPr>
                <w:rFonts w:asciiTheme="minorEastAsia" w:hAnsiTheme="minorEastAsia"/>
              </w:rPr>
            </w:pPr>
            <w:r w:rsidRPr="005A7270">
              <w:rPr>
                <w:rFonts w:asciiTheme="minorEastAsia" w:hAnsiTheme="minorEastAsia" w:hint="eastAsia"/>
              </w:rPr>
              <w:t>本件家屋については、再建築費を適切に算定することができない</w:t>
            </w:r>
            <w:r w:rsidR="007D3B5F" w:rsidRPr="005A7270">
              <w:rPr>
                <w:rFonts w:asciiTheme="minorEastAsia" w:hAnsiTheme="minorEastAsia" w:hint="eastAsia"/>
              </w:rPr>
              <w:t>「特別の</w:t>
            </w:r>
            <w:r w:rsidRPr="005A7270">
              <w:rPr>
                <w:rFonts w:asciiTheme="minorEastAsia" w:hAnsiTheme="minorEastAsia" w:hint="eastAsia"/>
              </w:rPr>
              <w:t>事情</w:t>
            </w:r>
            <w:r w:rsidR="007D3B5F" w:rsidRPr="005A7270">
              <w:rPr>
                <w:rFonts w:asciiTheme="minorEastAsia" w:hAnsiTheme="minorEastAsia" w:hint="eastAsia"/>
              </w:rPr>
              <w:t>」</w:t>
            </w:r>
            <w:r w:rsidRPr="005A7270">
              <w:rPr>
                <w:rFonts w:asciiTheme="minorEastAsia" w:hAnsiTheme="minorEastAsia" w:hint="eastAsia"/>
              </w:rPr>
              <w:t>や、</w:t>
            </w:r>
            <w:r w:rsidR="000E7799" w:rsidRPr="005A7270">
              <w:rPr>
                <w:rFonts w:asciiTheme="minorEastAsia" w:hAnsiTheme="minorEastAsia" w:hint="eastAsia"/>
              </w:rPr>
              <w:t>評価基準が定める減点補正を超える減価を要する</w:t>
            </w:r>
            <w:r w:rsidR="007D3B5F" w:rsidRPr="005A7270">
              <w:rPr>
                <w:rFonts w:asciiTheme="minorEastAsia" w:hAnsiTheme="minorEastAsia" w:hint="eastAsia"/>
              </w:rPr>
              <w:t>「</w:t>
            </w:r>
            <w:r w:rsidR="000E7799" w:rsidRPr="005A7270">
              <w:rPr>
                <w:rFonts w:asciiTheme="minorEastAsia" w:hAnsiTheme="minorEastAsia" w:hint="eastAsia"/>
              </w:rPr>
              <w:t>特別の事情</w:t>
            </w:r>
            <w:r w:rsidR="007D3B5F" w:rsidRPr="005A7270">
              <w:rPr>
                <w:rFonts w:asciiTheme="minorEastAsia" w:hAnsiTheme="minorEastAsia" w:hint="eastAsia"/>
              </w:rPr>
              <w:t>」</w:t>
            </w:r>
            <w:r w:rsidRPr="005A7270">
              <w:rPr>
                <w:rFonts w:asciiTheme="minorEastAsia" w:hAnsiTheme="minorEastAsia" w:hint="eastAsia"/>
              </w:rPr>
              <w:t>も</w:t>
            </w:r>
            <w:r w:rsidR="000E7799" w:rsidRPr="005A7270">
              <w:rPr>
                <w:rFonts w:asciiTheme="minorEastAsia" w:hAnsiTheme="minorEastAsia" w:hint="eastAsia"/>
              </w:rPr>
              <w:t>認められない。</w:t>
            </w:r>
          </w:p>
          <w:p w:rsidR="000E7799" w:rsidRDefault="000E7799" w:rsidP="000E7799">
            <w:pPr>
              <w:ind w:firstLineChars="100" w:firstLine="210"/>
            </w:pPr>
            <w:r>
              <w:rPr>
                <w:rFonts w:hint="eastAsia"/>
              </w:rPr>
              <w:t>また、不動産鑑定評価額と固定資産税額との間に大きな隔たりがある場合における固定資産評価の適否については、「評価基準によって再建築価格を適切に算定することができない特別の事情又は評価基準が定める減点補正を超える減価を要する特別の事情の存否の判断に当たり、不動産鑑定士による鑑定評価書の記載内容が検討されることはあるとしても、不動産鑑定士による鑑定評価額が登録価格を下回ることのみをもって、上記特別の事情に当たるということはできない。」と判示されている。</w:t>
            </w:r>
          </w:p>
          <w:p w:rsidR="000E7799" w:rsidRDefault="000E7799" w:rsidP="000E7799">
            <w:pPr>
              <w:ind w:firstLineChars="100" w:firstLine="210"/>
            </w:pPr>
            <w:r>
              <w:rPr>
                <w:rFonts w:hint="eastAsia"/>
              </w:rPr>
              <w:t>したがって、本件家屋の価格について、評価基準に基づく再建築価格方式による算出額ではなく、不動産鑑定評価による評価額を固定資産課税台帳に登録する価格とすべきという申出人の主張には理由がない。</w:t>
            </w:r>
          </w:p>
        </w:tc>
      </w:tr>
    </w:tbl>
    <w:p w:rsidR="009162D0" w:rsidRDefault="009162D0"/>
    <w:p w:rsidR="009162D0" w:rsidRDefault="009162D0">
      <w:pPr>
        <w:widowControl/>
        <w:jc w:val="left"/>
      </w:pPr>
      <w:r>
        <w:br w:type="page"/>
      </w:r>
    </w:p>
    <w:p w:rsidR="009162D0" w:rsidRPr="009B67E2" w:rsidRDefault="009162D0" w:rsidP="009162D0">
      <w:pPr>
        <w:rPr>
          <w:rFonts w:asciiTheme="majorEastAsia" w:eastAsiaTheme="majorEastAsia" w:hAnsiTheme="majorEastAsia"/>
          <w:b/>
          <w:sz w:val="24"/>
          <w:szCs w:val="24"/>
        </w:rPr>
      </w:pPr>
      <w:r w:rsidRPr="009B67E2">
        <w:rPr>
          <w:rFonts w:asciiTheme="majorEastAsia" w:eastAsiaTheme="majorEastAsia" w:hAnsiTheme="majorEastAsia" w:hint="eastAsia"/>
          <w:b/>
          <w:sz w:val="24"/>
          <w:szCs w:val="24"/>
        </w:rPr>
        <w:lastRenderedPageBreak/>
        <w:t>【事例</w:t>
      </w:r>
      <w:r>
        <w:rPr>
          <w:rFonts w:asciiTheme="majorEastAsia" w:eastAsiaTheme="majorEastAsia" w:hAnsiTheme="majorEastAsia" w:hint="eastAsia"/>
          <w:b/>
          <w:sz w:val="24"/>
          <w:szCs w:val="24"/>
        </w:rPr>
        <w:t>２</w:t>
      </w:r>
      <w:r w:rsidRPr="009B67E2">
        <w:rPr>
          <w:rFonts w:asciiTheme="majorEastAsia" w:eastAsiaTheme="majorEastAsia" w:hAnsiTheme="majorEastAsia" w:hint="eastAsia"/>
          <w:b/>
          <w:sz w:val="24"/>
          <w:szCs w:val="24"/>
        </w:rPr>
        <w:t>】</w:t>
      </w:r>
    </w:p>
    <w:tbl>
      <w:tblPr>
        <w:tblStyle w:val="a3"/>
        <w:tblpPr w:leftFromText="142" w:rightFromText="142" w:vertAnchor="text" w:horzAnchor="margin" w:tblpY="75"/>
        <w:tblW w:w="9066" w:type="dxa"/>
        <w:tblLook w:val="04A0" w:firstRow="1" w:lastRow="0" w:firstColumn="1" w:lastColumn="0" w:noHBand="0" w:noVBand="1"/>
      </w:tblPr>
      <w:tblGrid>
        <w:gridCol w:w="1838"/>
        <w:gridCol w:w="7228"/>
      </w:tblGrid>
      <w:tr w:rsidR="009162D0" w:rsidTr="005A7270">
        <w:trPr>
          <w:trHeight w:val="907"/>
        </w:trPr>
        <w:tc>
          <w:tcPr>
            <w:tcW w:w="1838" w:type="dxa"/>
            <w:vAlign w:val="center"/>
          </w:tcPr>
          <w:p w:rsidR="009162D0" w:rsidRPr="009B67E2" w:rsidRDefault="009162D0" w:rsidP="00194D82">
            <w:pPr>
              <w:jc w:val="center"/>
              <w:rPr>
                <w:rFonts w:asciiTheme="majorEastAsia" w:eastAsiaTheme="majorEastAsia" w:hAnsiTheme="majorEastAsia"/>
                <w:b/>
              </w:rPr>
            </w:pPr>
            <w:r w:rsidRPr="001F3832">
              <w:rPr>
                <w:rFonts w:asciiTheme="majorEastAsia" w:eastAsiaTheme="majorEastAsia" w:hAnsiTheme="majorEastAsia" w:hint="eastAsia"/>
                <w:b/>
                <w:spacing w:val="30"/>
                <w:kern w:val="0"/>
                <w:fitText w:val="1470" w:id="1220296707"/>
              </w:rPr>
              <w:t>申出の内</w:t>
            </w:r>
            <w:r w:rsidRPr="001F3832">
              <w:rPr>
                <w:rFonts w:asciiTheme="majorEastAsia" w:eastAsiaTheme="majorEastAsia" w:hAnsiTheme="majorEastAsia" w:hint="eastAsia"/>
                <w:b/>
                <w:spacing w:val="52"/>
                <w:kern w:val="0"/>
                <w:fitText w:val="1470" w:id="1220296707"/>
              </w:rPr>
              <w:t>容</w:t>
            </w:r>
          </w:p>
        </w:tc>
        <w:tc>
          <w:tcPr>
            <w:tcW w:w="7228" w:type="dxa"/>
            <w:vAlign w:val="center"/>
          </w:tcPr>
          <w:p w:rsidR="009162D0" w:rsidRDefault="008B0DB3" w:rsidP="00194D82">
            <w:pPr>
              <w:ind w:firstLineChars="100" w:firstLine="210"/>
            </w:pPr>
            <w:r>
              <w:rPr>
                <w:rFonts w:hint="eastAsia"/>
              </w:rPr>
              <w:t>家屋について①家屋の評価額算定方式の妥当性、②同一建物内で用途が複数に及ぶ場合における評価方法の妥当性、③需給状況に応じた補正の有無の妥当性、④評点数算出の適否及びその根拠の妥当性、の４点が考慮された適正な評価額となっていないことについて不服がある。</w:t>
            </w:r>
          </w:p>
        </w:tc>
      </w:tr>
      <w:tr w:rsidR="009162D0" w:rsidTr="005A7270">
        <w:trPr>
          <w:trHeight w:val="907"/>
        </w:trPr>
        <w:tc>
          <w:tcPr>
            <w:tcW w:w="1838" w:type="dxa"/>
            <w:vAlign w:val="center"/>
          </w:tcPr>
          <w:p w:rsidR="009162D0" w:rsidRPr="009B67E2" w:rsidRDefault="009162D0" w:rsidP="00194D82">
            <w:pPr>
              <w:jc w:val="center"/>
              <w:rPr>
                <w:rFonts w:asciiTheme="majorEastAsia" w:eastAsiaTheme="majorEastAsia" w:hAnsiTheme="majorEastAsia"/>
                <w:b/>
              </w:rPr>
            </w:pPr>
            <w:r w:rsidRPr="009B67E2">
              <w:rPr>
                <w:rFonts w:asciiTheme="majorEastAsia" w:eastAsiaTheme="majorEastAsia" w:hAnsiTheme="majorEastAsia" w:hint="eastAsia"/>
                <w:b/>
              </w:rPr>
              <w:t>委員会における</w:t>
            </w:r>
          </w:p>
          <w:p w:rsidR="009162D0" w:rsidRPr="009B67E2" w:rsidRDefault="009162D0" w:rsidP="00194D82">
            <w:pPr>
              <w:jc w:val="center"/>
              <w:rPr>
                <w:rFonts w:asciiTheme="majorEastAsia" w:eastAsiaTheme="majorEastAsia" w:hAnsiTheme="majorEastAsia"/>
                <w:b/>
              </w:rPr>
            </w:pPr>
            <w:r w:rsidRPr="001F3832">
              <w:rPr>
                <w:rFonts w:asciiTheme="majorEastAsia" w:eastAsiaTheme="majorEastAsia" w:hAnsiTheme="majorEastAsia" w:hint="eastAsia"/>
                <w:b/>
                <w:spacing w:val="90"/>
                <w:kern w:val="0"/>
                <w:fitText w:val="1470" w:id="1220296708"/>
              </w:rPr>
              <w:t>決定内</w:t>
            </w:r>
            <w:r w:rsidRPr="001F3832">
              <w:rPr>
                <w:rFonts w:asciiTheme="majorEastAsia" w:eastAsiaTheme="majorEastAsia" w:hAnsiTheme="majorEastAsia" w:hint="eastAsia"/>
                <w:b/>
                <w:spacing w:val="15"/>
                <w:kern w:val="0"/>
                <w:fitText w:val="1470" w:id="1220296708"/>
              </w:rPr>
              <w:t>容</w:t>
            </w:r>
          </w:p>
        </w:tc>
        <w:tc>
          <w:tcPr>
            <w:tcW w:w="7228" w:type="dxa"/>
            <w:vAlign w:val="center"/>
          </w:tcPr>
          <w:p w:rsidR="009162D0" w:rsidRDefault="008B0DB3" w:rsidP="00194D82">
            <w:pPr>
              <w:ind w:firstLineChars="100" w:firstLine="210"/>
            </w:pPr>
            <w:r>
              <w:rPr>
                <w:rFonts w:hint="eastAsia"/>
              </w:rPr>
              <w:t>棄却</w:t>
            </w:r>
          </w:p>
        </w:tc>
      </w:tr>
      <w:tr w:rsidR="009162D0" w:rsidTr="005A7270">
        <w:trPr>
          <w:trHeight w:val="5102"/>
        </w:trPr>
        <w:tc>
          <w:tcPr>
            <w:tcW w:w="1838" w:type="dxa"/>
            <w:vAlign w:val="center"/>
          </w:tcPr>
          <w:p w:rsidR="00F15E72" w:rsidRDefault="009162D0" w:rsidP="00F15E72">
            <w:pPr>
              <w:jc w:val="center"/>
              <w:rPr>
                <w:rFonts w:asciiTheme="majorEastAsia" w:eastAsiaTheme="majorEastAsia" w:hAnsiTheme="majorEastAsia"/>
                <w:b/>
                <w:kern w:val="0"/>
              </w:rPr>
            </w:pPr>
            <w:r w:rsidRPr="001F3832">
              <w:rPr>
                <w:rFonts w:asciiTheme="majorEastAsia" w:eastAsiaTheme="majorEastAsia" w:hAnsiTheme="majorEastAsia" w:hint="eastAsia"/>
                <w:b/>
                <w:spacing w:val="30"/>
                <w:kern w:val="0"/>
                <w:fitText w:val="1470" w:id="1220296709"/>
              </w:rPr>
              <w:t>決定の理</w:t>
            </w:r>
            <w:r w:rsidRPr="001F3832">
              <w:rPr>
                <w:rFonts w:asciiTheme="majorEastAsia" w:eastAsiaTheme="majorEastAsia" w:hAnsiTheme="majorEastAsia" w:hint="eastAsia"/>
                <w:b/>
                <w:spacing w:val="52"/>
                <w:kern w:val="0"/>
                <w:fitText w:val="1470" w:id="1220296709"/>
              </w:rPr>
              <w:t>由</w:t>
            </w:r>
          </w:p>
          <w:p w:rsidR="009162D0" w:rsidRPr="009B67E2" w:rsidRDefault="00F15E72" w:rsidP="00F15E72">
            <w:pPr>
              <w:jc w:val="center"/>
              <w:rPr>
                <w:rFonts w:asciiTheme="majorEastAsia" w:eastAsiaTheme="majorEastAsia" w:hAnsiTheme="majorEastAsia"/>
                <w:b/>
              </w:rPr>
            </w:pPr>
            <w:r>
              <w:rPr>
                <w:rFonts w:asciiTheme="majorEastAsia" w:eastAsiaTheme="majorEastAsia" w:hAnsiTheme="majorEastAsia" w:hint="eastAsia"/>
                <w:b/>
                <w:kern w:val="0"/>
              </w:rPr>
              <w:t>（抜粋）</w:t>
            </w:r>
          </w:p>
        </w:tc>
        <w:tc>
          <w:tcPr>
            <w:tcW w:w="7228" w:type="dxa"/>
            <w:vAlign w:val="center"/>
          </w:tcPr>
          <w:p w:rsidR="009162D0" w:rsidRPr="005A7270" w:rsidRDefault="008B0DB3" w:rsidP="008B0DB3">
            <w:pPr>
              <w:ind w:left="210" w:hangingChars="100" w:hanging="210"/>
              <w:rPr>
                <w:rFonts w:asciiTheme="minorEastAsia" w:hAnsiTheme="minorEastAsia"/>
              </w:rPr>
            </w:pPr>
            <w:r>
              <w:rPr>
                <w:rFonts w:hint="eastAsia"/>
              </w:rPr>
              <w:t xml:space="preserve">①　</w:t>
            </w:r>
            <w:r w:rsidRPr="005A7270">
              <w:rPr>
                <w:rFonts w:asciiTheme="minorEastAsia" w:hAnsiTheme="minorEastAsia" w:hint="eastAsia"/>
              </w:rPr>
              <w:t>審査申出人は</w:t>
            </w:r>
            <w:r w:rsidR="001B7AF0" w:rsidRPr="005A7270">
              <w:rPr>
                <w:rFonts w:asciiTheme="minorEastAsia" w:hAnsiTheme="minorEastAsia" w:hint="eastAsia"/>
              </w:rPr>
              <w:t>判例</w:t>
            </w:r>
            <w:r w:rsidRPr="005A7270">
              <w:rPr>
                <w:rFonts w:asciiTheme="minorEastAsia" w:hAnsiTheme="minorEastAsia" w:hint="eastAsia"/>
              </w:rPr>
              <w:t>を引用し、本件家屋については再建築価格方式によらずに</w:t>
            </w:r>
            <w:r w:rsidR="007D3B5F" w:rsidRPr="005A7270">
              <w:rPr>
                <w:rFonts w:asciiTheme="minorEastAsia" w:hAnsiTheme="minorEastAsia" w:hint="eastAsia"/>
              </w:rPr>
              <w:t>評価することができる「特別の事情」があるとするが、本件家屋は建築当初に明確計算により主体構造部その他の部分別評点数が敷設されているものであるから、再建築価格費を適正に算定することができない事情があるとは認められず、固定資産評価基準に基づき評価したことは適法かつ適正である。</w:t>
            </w:r>
          </w:p>
          <w:p w:rsidR="008B0DB3" w:rsidRDefault="008B0DB3" w:rsidP="008B0DB3">
            <w:pPr>
              <w:ind w:left="210" w:hangingChars="100" w:hanging="210"/>
            </w:pPr>
            <w:r w:rsidRPr="005A7270">
              <w:rPr>
                <w:rFonts w:asciiTheme="minorEastAsia" w:hAnsiTheme="minorEastAsia" w:hint="eastAsia"/>
              </w:rPr>
              <w:t>②</w:t>
            </w:r>
            <w:r w:rsidR="0096663A" w:rsidRPr="005A7270">
              <w:rPr>
                <w:rFonts w:asciiTheme="minorEastAsia" w:hAnsiTheme="minorEastAsia" w:hint="eastAsia"/>
              </w:rPr>
              <w:t xml:space="preserve">　</w:t>
            </w:r>
            <w:r w:rsidR="00464A50" w:rsidRPr="005A7270">
              <w:rPr>
                <w:rFonts w:asciiTheme="minorEastAsia" w:hAnsiTheme="minorEastAsia" w:hint="eastAsia"/>
              </w:rPr>
              <w:t>固定資産評価基準（昭和</w:t>
            </w:r>
            <w:r w:rsidR="005A7270" w:rsidRPr="005A7270">
              <w:rPr>
                <w:rFonts w:asciiTheme="minorEastAsia" w:hAnsiTheme="minorEastAsia" w:hint="eastAsia"/>
              </w:rPr>
              <w:t>38</w:t>
            </w:r>
            <w:r w:rsidR="00464A50" w:rsidRPr="005A7270">
              <w:rPr>
                <w:rFonts w:asciiTheme="minorEastAsia" w:hAnsiTheme="minorEastAsia" w:hint="eastAsia"/>
              </w:rPr>
              <w:t>年自治省告示第</w:t>
            </w:r>
            <w:r w:rsidR="005A7270" w:rsidRPr="005A7270">
              <w:rPr>
                <w:rFonts w:asciiTheme="minorEastAsia" w:hAnsiTheme="minorEastAsia" w:hint="eastAsia"/>
              </w:rPr>
              <w:t>158</w:t>
            </w:r>
            <w:r w:rsidR="00464A50" w:rsidRPr="005A7270">
              <w:rPr>
                <w:rFonts w:asciiTheme="minorEastAsia" w:hAnsiTheme="minorEastAsia" w:hint="eastAsia"/>
              </w:rPr>
              <w:t>号。以下「評価基準」という。）によれば、「一棟の家屋の価額を二以上の部分に区分して求める必要がある場合においては、それぞれの部分ごとに区分して価額を求める」とされているが、「それぞれの部分ごとに区分して価額を求めることが困難であると認められるときは、（中略）あん分してそれぞれの部分の価額を求める」ことができるという例外も定められている。本件家屋については</w:t>
            </w:r>
            <w:r w:rsidR="003712FD" w:rsidRPr="005A7270">
              <w:rPr>
                <w:rFonts w:asciiTheme="minorEastAsia" w:hAnsiTheme="minorEastAsia" w:hint="eastAsia"/>
              </w:rPr>
              <w:t>、弁明書の添付資料によると、家屋の骨格をなし、一棟全体を支えるためにその使用数量を区分ごと</w:t>
            </w:r>
            <w:r w:rsidR="003712FD">
              <w:rPr>
                <w:rFonts w:hint="eastAsia"/>
              </w:rPr>
              <w:t>に把握することが困難である主体構造部をはじめ、附帯設備、仕上げについて双方に大きな違いが認められず、事務所部分と住宅部分のそれぞれの使用数量を把握することが困難であるため、市が本件家屋</w:t>
            </w:r>
            <w:r w:rsidR="00260EAF">
              <w:rPr>
                <w:rFonts w:hint="eastAsia"/>
              </w:rPr>
              <w:t>について一棟単位で評価し価額を求め、その価額を床面積の割合にあん分することが不合理とまではいえず、適法かつ適正である。</w:t>
            </w:r>
          </w:p>
          <w:p w:rsidR="008B0DB3" w:rsidRDefault="008B0DB3" w:rsidP="008B0DB3">
            <w:pPr>
              <w:ind w:left="210" w:hangingChars="100" w:hanging="210"/>
            </w:pPr>
            <w:r>
              <w:rPr>
                <w:rFonts w:hint="eastAsia"/>
              </w:rPr>
              <w:t>③</w:t>
            </w:r>
            <w:r w:rsidR="001B7AF0">
              <w:rPr>
                <w:rFonts w:hint="eastAsia"/>
              </w:rPr>
              <w:t xml:space="preserve">　</w:t>
            </w:r>
            <w:r w:rsidR="00C17956">
              <w:rPr>
                <w:rFonts w:hint="eastAsia"/>
              </w:rPr>
              <w:t>裁判例によれば需給状況による減点補正は特にその必要がある家屋に限定して適用されるべきものとされており、</w:t>
            </w:r>
            <w:r w:rsidR="001B7AF0">
              <w:rPr>
                <w:rFonts w:hint="eastAsia"/>
              </w:rPr>
              <w:t>評価基準</w:t>
            </w:r>
            <w:r w:rsidR="00001E65">
              <w:rPr>
                <w:rFonts w:hint="eastAsia"/>
              </w:rPr>
              <w:t>においても</w:t>
            </w:r>
            <w:r w:rsidR="00C17956">
              <w:rPr>
                <w:rFonts w:hint="eastAsia"/>
              </w:rPr>
              <w:t>「建築様式が著しく旧式となっている非木造家屋、所在地域の状況によりその価額が減少すると認められる非木造家屋等について、その減少する価額の範囲において求めるものとする</w:t>
            </w:r>
            <w:r w:rsidR="00001E65">
              <w:rPr>
                <w:rFonts w:hint="eastAsia"/>
              </w:rPr>
              <w:t>」として、需給事情による減点補正の適用の可能性を限定的に捉えている。</w:t>
            </w:r>
          </w:p>
          <w:p w:rsidR="00001E65" w:rsidRDefault="00001E65" w:rsidP="00001E65">
            <w:pPr>
              <w:ind w:leftChars="100" w:left="210" w:firstLineChars="100" w:firstLine="210"/>
            </w:pPr>
            <w:r>
              <w:rPr>
                <w:rFonts w:hint="eastAsia"/>
              </w:rPr>
              <w:t>本件家屋については、</w:t>
            </w:r>
            <w:r w:rsidR="009853EE">
              <w:rPr>
                <w:rFonts w:hint="eastAsia"/>
              </w:rPr>
              <w:t>新築後７年を経過した</w:t>
            </w:r>
            <w:r>
              <w:rPr>
                <w:rFonts w:hint="eastAsia"/>
              </w:rPr>
              <w:t>鉄筋コンクリート造の建物であ</w:t>
            </w:r>
            <w:r w:rsidR="009853EE">
              <w:rPr>
                <w:rFonts w:hint="eastAsia"/>
              </w:rPr>
              <w:t>り</w:t>
            </w:r>
            <w:r w:rsidR="00C977E3">
              <w:rPr>
                <w:rFonts w:hint="eastAsia"/>
              </w:rPr>
              <w:t>、</w:t>
            </w:r>
            <w:r>
              <w:rPr>
                <w:rFonts w:hint="eastAsia"/>
              </w:rPr>
              <w:t>「建築様式が著しく旧式となっている非木造家屋」とはいえない。</w:t>
            </w:r>
          </w:p>
          <w:p w:rsidR="00001E65" w:rsidRDefault="00001E65" w:rsidP="00001E65">
            <w:pPr>
              <w:ind w:leftChars="100" w:left="210" w:firstLineChars="100" w:firstLine="210"/>
            </w:pPr>
            <w:r>
              <w:rPr>
                <w:rFonts w:hint="eastAsia"/>
              </w:rPr>
              <w:t>また、</w:t>
            </w:r>
            <w:r w:rsidR="008F6835">
              <w:rPr>
                <w:rFonts w:hint="eastAsia"/>
              </w:rPr>
              <w:t>人口・世帯数とも微増傾向にあり街路条件や交通接近条件等も良好である青森市</w:t>
            </w:r>
            <w:r>
              <w:rPr>
                <w:rFonts w:hint="eastAsia"/>
              </w:rPr>
              <w:t>中心部に立地</w:t>
            </w:r>
            <w:r w:rsidR="008F6835">
              <w:rPr>
                <w:rFonts w:hint="eastAsia"/>
              </w:rPr>
              <w:t>していることなどから、「</w:t>
            </w:r>
            <w:r w:rsidR="008F6835" w:rsidRPr="008F6835">
              <w:rPr>
                <w:rFonts w:hint="eastAsia"/>
              </w:rPr>
              <w:t>所在地域の状況に</w:t>
            </w:r>
            <w:r w:rsidR="008F6835" w:rsidRPr="008F6835">
              <w:rPr>
                <w:rFonts w:hint="eastAsia"/>
              </w:rPr>
              <w:lastRenderedPageBreak/>
              <w:t>よりその価額が減少すると認められる非木造家屋</w:t>
            </w:r>
            <w:r w:rsidR="008F6835">
              <w:rPr>
                <w:rFonts w:hint="eastAsia"/>
              </w:rPr>
              <w:t>」ともいえない。</w:t>
            </w:r>
          </w:p>
          <w:p w:rsidR="008F6835" w:rsidRDefault="008F6835" w:rsidP="00001E65">
            <w:pPr>
              <w:ind w:leftChars="100" w:left="210" w:firstLineChars="100" w:firstLine="210"/>
            </w:pPr>
            <w:r>
              <w:rPr>
                <w:rFonts w:hint="eastAsia"/>
              </w:rPr>
              <w:t>したがって、本件家屋に対し、需給事情による減点補正を行うにいたる理由は認められず、減点補正を</w:t>
            </w:r>
            <w:r w:rsidR="003B75A4">
              <w:rPr>
                <w:rFonts w:hint="eastAsia"/>
              </w:rPr>
              <w:t>行</w:t>
            </w:r>
            <w:r>
              <w:rPr>
                <w:rFonts w:hint="eastAsia"/>
              </w:rPr>
              <w:t>わないとした</w:t>
            </w:r>
            <w:r w:rsidR="003B75A4">
              <w:rPr>
                <w:rFonts w:hint="eastAsia"/>
              </w:rPr>
              <w:t>市</w:t>
            </w:r>
            <w:r>
              <w:rPr>
                <w:rFonts w:hint="eastAsia"/>
              </w:rPr>
              <w:t>の</w:t>
            </w:r>
            <w:r w:rsidR="003B75A4">
              <w:rPr>
                <w:rFonts w:hint="eastAsia"/>
              </w:rPr>
              <w:t>評価</w:t>
            </w:r>
            <w:r>
              <w:rPr>
                <w:rFonts w:hint="eastAsia"/>
              </w:rPr>
              <w:t>は</w:t>
            </w:r>
            <w:r w:rsidR="003B75A4">
              <w:rPr>
                <w:rFonts w:hint="eastAsia"/>
              </w:rPr>
              <w:t>妥当</w:t>
            </w:r>
            <w:r>
              <w:rPr>
                <w:rFonts w:hint="eastAsia"/>
              </w:rPr>
              <w:t>なものと</w:t>
            </w:r>
            <w:r w:rsidR="003B75A4">
              <w:rPr>
                <w:rFonts w:hint="eastAsia"/>
              </w:rPr>
              <w:t>判断</w:t>
            </w:r>
            <w:r>
              <w:rPr>
                <w:rFonts w:hint="eastAsia"/>
              </w:rPr>
              <w:t>せ</w:t>
            </w:r>
            <w:r w:rsidR="003B75A4">
              <w:rPr>
                <w:rFonts w:hint="eastAsia"/>
              </w:rPr>
              <w:t>ざるを得</w:t>
            </w:r>
            <w:r w:rsidR="00241B54">
              <w:rPr>
                <w:rFonts w:hint="eastAsia"/>
              </w:rPr>
              <w:t>ず、適法かつ適正である。</w:t>
            </w:r>
          </w:p>
          <w:p w:rsidR="00194D82" w:rsidRDefault="008B0DB3" w:rsidP="00194D82">
            <w:pPr>
              <w:ind w:left="210" w:hangingChars="100" w:hanging="210"/>
            </w:pPr>
            <w:r>
              <w:rPr>
                <w:rFonts w:hint="eastAsia"/>
              </w:rPr>
              <w:t>④</w:t>
            </w:r>
            <w:r w:rsidR="003B75A4">
              <w:rPr>
                <w:rFonts w:hint="eastAsia"/>
              </w:rPr>
              <w:t xml:space="preserve">　</w:t>
            </w:r>
            <w:r w:rsidR="008F2CC9">
              <w:rPr>
                <w:rFonts w:hint="eastAsia"/>
              </w:rPr>
              <w:t>審査申出人は、市が文書保存規程に基づく保存年限を経過し、廃棄されていることを理由に数量・補正係数適用の根拠を示さないことについて不服があるとのことである</w:t>
            </w:r>
            <w:r w:rsidR="00194D82">
              <w:rPr>
                <w:rFonts w:hint="eastAsia"/>
              </w:rPr>
              <w:t>。</w:t>
            </w:r>
          </w:p>
          <w:p w:rsidR="008B0DB3" w:rsidRDefault="00194D82" w:rsidP="00194D82">
            <w:pPr>
              <w:ind w:leftChars="100" w:left="210" w:firstLineChars="100" w:firstLine="210"/>
            </w:pPr>
            <w:r>
              <w:rPr>
                <w:rFonts w:hint="eastAsia"/>
              </w:rPr>
              <w:t>これについては、</w:t>
            </w:r>
            <w:r w:rsidR="008F2CC9">
              <w:rPr>
                <w:rFonts w:hint="eastAsia"/>
              </w:rPr>
              <w:t>「</w:t>
            </w:r>
            <w:r>
              <w:rPr>
                <w:rFonts w:hint="eastAsia"/>
              </w:rPr>
              <w:t>市町村長が保有する文書は、通常、一定期間を経過すると廃棄されていることや、家屋の所有者は、各年度ごとに、各年度の再建築費評点数等の評価基準適合性その他の違法を争う機会を与えられていることにかんがみれば、基準年度の登録価格の適否を問題とする訴訟において、前年度以前の再建築費評点数等の評価基準適合性その他の違法が争われた場合には、被告（固定資産評価審査委員会）は、同評点数等の一応の算出経過を明らかにすれば、同評点数が評価基準に適合しているとの事実上の推定が働き、これを争う納税者の側が、同評点数が評価基準に適合していないことを示す具体的な事実等を積極的に主張立証すべきもの</w:t>
            </w:r>
            <w:r w:rsidR="008F2CC9">
              <w:rPr>
                <w:rFonts w:hint="eastAsia"/>
              </w:rPr>
              <w:t>」との裁判例</w:t>
            </w:r>
            <w:r>
              <w:rPr>
                <w:rFonts w:hint="eastAsia"/>
              </w:rPr>
              <w:t>があり</w:t>
            </w:r>
            <w:r w:rsidR="008F2CC9">
              <w:rPr>
                <w:rFonts w:hint="eastAsia"/>
              </w:rPr>
              <w:t>、</w:t>
            </w:r>
            <w:r>
              <w:rPr>
                <w:rFonts w:hint="eastAsia"/>
              </w:rPr>
              <w:t>市は当該年度の再建築評点数の算出経過を再弁明書によって明らかにしているところ、申出人は新築当初の再建築費票点数の算出経過が不明であると</w:t>
            </w:r>
            <w:r w:rsidR="00241B54">
              <w:rPr>
                <w:rFonts w:hint="eastAsia"/>
              </w:rPr>
              <w:t>主張するものの、具体的な主張立証を行っていない。</w:t>
            </w:r>
          </w:p>
          <w:p w:rsidR="00241B54" w:rsidRDefault="00241B54" w:rsidP="00241B54">
            <w:pPr>
              <w:ind w:leftChars="100" w:left="210" w:firstLineChars="100" w:firstLine="210"/>
            </w:pPr>
            <w:r>
              <w:rPr>
                <w:rFonts w:hint="eastAsia"/>
              </w:rPr>
              <w:t>したがって、市が付設した本件家屋の当該年度の再建築評点数は、評価基準に従って付設されたものと推認するのが相当であるから、適法かつ適正といえる。</w:t>
            </w:r>
          </w:p>
        </w:tc>
      </w:tr>
    </w:tbl>
    <w:p w:rsidR="00241B54" w:rsidRDefault="00241B54"/>
    <w:p w:rsidR="00241B54" w:rsidRDefault="00241B54">
      <w:pPr>
        <w:widowControl/>
        <w:jc w:val="left"/>
      </w:pPr>
      <w:r>
        <w:br w:type="page"/>
      </w:r>
    </w:p>
    <w:p w:rsidR="00241B54" w:rsidRPr="009B67E2" w:rsidRDefault="00241B54" w:rsidP="00241B54">
      <w:pPr>
        <w:rPr>
          <w:rFonts w:asciiTheme="majorEastAsia" w:eastAsiaTheme="majorEastAsia" w:hAnsiTheme="majorEastAsia"/>
          <w:b/>
          <w:sz w:val="24"/>
          <w:szCs w:val="24"/>
        </w:rPr>
      </w:pPr>
      <w:r w:rsidRPr="009B67E2">
        <w:rPr>
          <w:rFonts w:asciiTheme="majorEastAsia" w:eastAsiaTheme="majorEastAsia" w:hAnsiTheme="majorEastAsia" w:hint="eastAsia"/>
          <w:b/>
          <w:sz w:val="24"/>
          <w:szCs w:val="24"/>
        </w:rPr>
        <w:lastRenderedPageBreak/>
        <w:t>【事例</w:t>
      </w:r>
      <w:r>
        <w:rPr>
          <w:rFonts w:asciiTheme="majorEastAsia" w:eastAsiaTheme="majorEastAsia" w:hAnsiTheme="majorEastAsia" w:hint="eastAsia"/>
          <w:b/>
          <w:sz w:val="24"/>
          <w:szCs w:val="24"/>
        </w:rPr>
        <w:t>３</w:t>
      </w:r>
      <w:r w:rsidRPr="009B67E2">
        <w:rPr>
          <w:rFonts w:asciiTheme="majorEastAsia" w:eastAsiaTheme="majorEastAsia" w:hAnsiTheme="majorEastAsia" w:hint="eastAsia"/>
          <w:b/>
          <w:sz w:val="24"/>
          <w:szCs w:val="24"/>
        </w:rPr>
        <w:t>】</w:t>
      </w:r>
    </w:p>
    <w:tbl>
      <w:tblPr>
        <w:tblStyle w:val="a3"/>
        <w:tblpPr w:leftFromText="142" w:rightFromText="142" w:vertAnchor="text" w:horzAnchor="margin" w:tblpY="75"/>
        <w:tblW w:w="9066" w:type="dxa"/>
        <w:tblLook w:val="04A0" w:firstRow="1" w:lastRow="0" w:firstColumn="1" w:lastColumn="0" w:noHBand="0" w:noVBand="1"/>
      </w:tblPr>
      <w:tblGrid>
        <w:gridCol w:w="1838"/>
        <w:gridCol w:w="7228"/>
      </w:tblGrid>
      <w:tr w:rsidR="00241B54" w:rsidTr="005A7270">
        <w:trPr>
          <w:trHeight w:val="907"/>
        </w:trPr>
        <w:tc>
          <w:tcPr>
            <w:tcW w:w="1838" w:type="dxa"/>
            <w:vAlign w:val="center"/>
          </w:tcPr>
          <w:p w:rsidR="00241B54" w:rsidRPr="009B67E2" w:rsidRDefault="00241B54" w:rsidP="00BF2660">
            <w:pPr>
              <w:jc w:val="center"/>
              <w:rPr>
                <w:rFonts w:asciiTheme="majorEastAsia" w:eastAsiaTheme="majorEastAsia" w:hAnsiTheme="majorEastAsia"/>
                <w:b/>
              </w:rPr>
            </w:pPr>
            <w:r w:rsidRPr="001F3832">
              <w:rPr>
                <w:rFonts w:asciiTheme="majorEastAsia" w:eastAsiaTheme="majorEastAsia" w:hAnsiTheme="majorEastAsia" w:hint="eastAsia"/>
                <w:b/>
                <w:spacing w:val="30"/>
                <w:kern w:val="0"/>
                <w:fitText w:val="1470" w:id="1220827395"/>
              </w:rPr>
              <w:t>申出の内</w:t>
            </w:r>
            <w:r w:rsidRPr="001F3832">
              <w:rPr>
                <w:rFonts w:asciiTheme="majorEastAsia" w:eastAsiaTheme="majorEastAsia" w:hAnsiTheme="majorEastAsia" w:hint="eastAsia"/>
                <w:b/>
                <w:spacing w:val="52"/>
                <w:kern w:val="0"/>
                <w:fitText w:val="1470" w:id="1220827395"/>
              </w:rPr>
              <w:t>容</w:t>
            </w:r>
          </w:p>
        </w:tc>
        <w:tc>
          <w:tcPr>
            <w:tcW w:w="7228" w:type="dxa"/>
            <w:vAlign w:val="center"/>
          </w:tcPr>
          <w:p w:rsidR="00241B54" w:rsidRDefault="00717946" w:rsidP="00BF2660">
            <w:pPr>
              <w:ind w:firstLineChars="100" w:firstLine="210"/>
            </w:pPr>
            <w:r>
              <w:rPr>
                <w:rFonts w:hint="eastAsia"/>
              </w:rPr>
              <w:t>土地の評価の内容が不明確であることから、評価額に不服がある。</w:t>
            </w:r>
          </w:p>
        </w:tc>
      </w:tr>
      <w:tr w:rsidR="00241B54" w:rsidTr="005A7270">
        <w:trPr>
          <w:trHeight w:val="907"/>
        </w:trPr>
        <w:tc>
          <w:tcPr>
            <w:tcW w:w="1838" w:type="dxa"/>
            <w:vAlign w:val="center"/>
          </w:tcPr>
          <w:p w:rsidR="00241B54" w:rsidRPr="009B67E2" w:rsidRDefault="00241B54" w:rsidP="00BF2660">
            <w:pPr>
              <w:jc w:val="center"/>
              <w:rPr>
                <w:rFonts w:asciiTheme="majorEastAsia" w:eastAsiaTheme="majorEastAsia" w:hAnsiTheme="majorEastAsia"/>
                <w:b/>
              </w:rPr>
            </w:pPr>
            <w:r w:rsidRPr="009B67E2">
              <w:rPr>
                <w:rFonts w:asciiTheme="majorEastAsia" w:eastAsiaTheme="majorEastAsia" w:hAnsiTheme="majorEastAsia" w:hint="eastAsia"/>
                <w:b/>
              </w:rPr>
              <w:t>委員会における</w:t>
            </w:r>
          </w:p>
          <w:p w:rsidR="00241B54" w:rsidRPr="009B67E2" w:rsidRDefault="00241B54" w:rsidP="00BF2660">
            <w:pPr>
              <w:jc w:val="center"/>
              <w:rPr>
                <w:rFonts w:asciiTheme="majorEastAsia" w:eastAsiaTheme="majorEastAsia" w:hAnsiTheme="majorEastAsia"/>
                <w:b/>
              </w:rPr>
            </w:pPr>
            <w:r w:rsidRPr="001F3832">
              <w:rPr>
                <w:rFonts w:asciiTheme="majorEastAsia" w:eastAsiaTheme="majorEastAsia" w:hAnsiTheme="majorEastAsia" w:hint="eastAsia"/>
                <w:b/>
                <w:spacing w:val="90"/>
                <w:kern w:val="0"/>
                <w:fitText w:val="1470" w:id="1220827396"/>
              </w:rPr>
              <w:t>決定内</w:t>
            </w:r>
            <w:r w:rsidRPr="001F3832">
              <w:rPr>
                <w:rFonts w:asciiTheme="majorEastAsia" w:eastAsiaTheme="majorEastAsia" w:hAnsiTheme="majorEastAsia" w:hint="eastAsia"/>
                <w:b/>
                <w:spacing w:val="15"/>
                <w:kern w:val="0"/>
                <w:fitText w:val="1470" w:id="1220827396"/>
              </w:rPr>
              <w:t>容</w:t>
            </w:r>
          </w:p>
        </w:tc>
        <w:tc>
          <w:tcPr>
            <w:tcW w:w="7228" w:type="dxa"/>
            <w:vAlign w:val="center"/>
          </w:tcPr>
          <w:p w:rsidR="00241B54" w:rsidRDefault="00241B54" w:rsidP="00BF2660">
            <w:pPr>
              <w:ind w:firstLineChars="100" w:firstLine="210"/>
            </w:pPr>
            <w:r>
              <w:rPr>
                <w:rFonts w:hint="eastAsia"/>
              </w:rPr>
              <w:t>棄却</w:t>
            </w:r>
          </w:p>
        </w:tc>
      </w:tr>
      <w:tr w:rsidR="00241B54" w:rsidTr="005A7270">
        <w:trPr>
          <w:trHeight w:val="5102"/>
        </w:trPr>
        <w:tc>
          <w:tcPr>
            <w:tcW w:w="1838" w:type="dxa"/>
            <w:vAlign w:val="center"/>
          </w:tcPr>
          <w:p w:rsidR="00F15E72" w:rsidRDefault="00241B54" w:rsidP="00F15E72">
            <w:pPr>
              <w:jc w:val="center"/>
              <w:rPr>
                <w:rFonts w:asciiTheme="majorEastAsia" w:eastAsiaTheme="majorEastAsia" w:hAnsiTheme="majorEastAsia"/>
                <w:b/>
                <w:kern w:val="0"/>
              </w:rPr>
            </w:pPr>
            <w:r w:rsidRPr="001F3832">
              <w:rPr>
                <w:rFonts w:asciiTheme="majorEastAsia" w:eastAsiaTheme="majorEastAsia" w:hAnsiTheme="majorEastAsia" w:hint="eastAsia"/>
                <w:b/>
                <w:spacing w:val="30"/>
                <w:kern w:val="0"/>
                <w:fitText w:val="1470" w:id="1220827397"/>
              </w:rPr>
              <w:t>決定の理</w:t>
            </w:r>
            <w:r w:rsidRPr="001F3832">
              <w:rPr>
                <w:rFonts w:asciiTheme="majorEastAsia" w:eastAsiaTheme="majorEastAsia" w:hAnsiTheme="majorEastAsia" w:hint="eastAsia"/>
                <w:b/>
                <w:spacing w:val="52"/>
                <w:kern w:val="0"/>
                <w:fitText w:val="1470" w:id="1220827397"/>
              </w:rPr>
              <w:t>由</w:t>
            </w:r>
          </w:p>
          <w:p w:rsidR="00241B54" w:rsidRPr="009B67E2" w:rsidRDefault="00F15E72" w:rsidP="00F15E72">
            <w:pPr>
              <w:jc w:val="center"/>
              <w:rPr>
                <w:rFonts w:asciiTheme="majorEastAsia" w:eastAsiaTheme="majorEastAsia" w:hAnsiTheme="majorEastAsia"/>
                <w:b/>
              </w:rPr>
            </w:pPr>
            <w:r>
              <w:rPr>
                <w:rFonts w:asciiTheme="majorEastAsia" w:eastAsiaTheme="majorEastAsia" w:hAnsiTheme="majorEastAsia" w:hint="eastAsia"/>
                <w:b/>
                <w:kern w:val="0"/>
              </w:rPr>
              <w:t>（抜粋）</w:t>
            </w:r>
          </w:p>
        </w:tc>
        <w:tc>
          <w:tcPr>
            <w:tcW w:w="7228" w:type="dxa"/>
            <w:vAlign w:val="center"/>
          </w:tcPr>
          <w:p w:rsidR="00241B54" w:rsidRPr="005A7270" w:rsidRDefault="00717946" w:rsidP="00E44C94">
            <w:pPr>
              <w:ind w:firstLineChars="100" w:firstLine="210"/>
              <w:rPr>
                <w:rFonts w:asciiTheme="minorEastAsia" w:hAnsiTheme="minorEastAsia"/>
              </w:rPr>
            </w:pPr>
            <w:r w:rsidRPr="005A7270">
              <w:rPr>
                <w:rFonts w:asciiTheme="minorEastAsia" w:hAnsiTheme="minorEastAsia" w:hint="eastAsia"/>
              </w:rPr>
              <w:t>当該土地の地目及び地積については争いがないので、</w:t>
            </w:r>
            <w:r w:rsidR="00FB79CD" w:rsidRPr="005A7270">
              <w:rPr>
                <w:rFonts w:asciiTheme="minorEastAsia" w:hAnsiTheme="minorEastAsia" w:hint="eastAsia"/>
              </w:rPr>
              <w:t>当該土地の評価方法については、地方税法第</w:t>
            </w:r>
            <w:r w:rsidR="005A7270" w:rsidRPr="005A7270">
              <w:rPr>
                <w:rFonts w:asciiTheme="minorEastAsia" w:hAnsiTheme="minorEastAsia" w:hint="eastAsia"/>
              </w:rPr>
              <w:t>388</w:t>
            </w:r>
            <w:r w:rsidR="00FB79CD" w:rsidRPr="005A7270">
              <w:rPr>
                <w:rFonts w:asciiTheme="minorEastAsia" w:hAnsiTheme="minorEastAsia" w:hint="eastAsia"/>
              </w:rPr>
              <w:t>条第１項の固定資産評価基準によることとなる。</w:t>
            </w:r>
          </w:p>
          <w:p w:rsidR="00FB79CD" w:rsidRDefault="00FB79CD" w:rsidP="0019310A">
            <w:pPr>
              <w:ind w:firstLineChars="100" w:firstLine="210"/>
            </w:pPr>
            <w:r>
              <w:rPr>
                <w:rFonts w:hint="eastAsia"/>
              </w:rPr>
              <w:t>当該土地を含む一帯</w:t>
            </w:r>
            <w:r w:rsidR="0019310A">
              <w:rPr>
                <w:rFonts w:hint="eastAsia"/>
              </w:rPr>
              <w:t>を、都市計画や現在の利用状況からして「商業地区」と区分していることは妥当であるから、用途地区を普通商業地としたことは適正である。</w:t>
            </w:r>
          </w:p>
          <w:p w:rsidR="0019310A" w:rsidRDefault="0019310A" w:rsidP="0019310A">
            <w:pPr>
              <w:ind w:firstLineChars="100" w:firstLine="210"/>
            </w:pPr>
            <w:r>
              <w:rPr>
                <w:rFonts w:hint="eastAsia"/>
              </w:rPr>
              <w:t>審査申出人は、当該土地の用途地区の区分に関連して、商店の大部分に住宅用地の認定をしていると主張するが、これは、画地における「住宅用地に対する固定資産の課税標準の特例（地方税法第</w:t>
            </w:r>
            <w:r w:rsidR="005A7270" w:rsidRPr="005A7270">
              <w:rPr>
                <w:rFonts w:asciiTheme="minorEastAsia" w:hAnsiTheme="minorEastAsia" w:hint="eastAsia"/>
              </w:rPr>
              <w:t>349</w:t>
            </w:r>
            <w:r>
              <w:rPr>
                <w:rFonts w:hint="eastAsia"/>
              </w:rPr>
              <w:t>条の３の２）」の適用の問題であり、評価基準</w:t>
            </w:r>
            <w:r w:rsidR="00342C24">
              <w:rPr>
                <w:rFonts w:hint="eastAsia"/>
              </w:rPr>
              <w:t>に関係するものではないことから、この主張には理由がない。</w:t>
            </w:r>
          </w:p>
          <w:p w:rsidR="00342C24" w:rsidRDefault="00342C24" w:rsidP="0019310A">
            <w:pPr>
              <w:ind w:firstLineChars="100" w:firstLine="210"/>
            </w:pPr>
            <w:r>
              <w:rPr>
                <w:rFonts w:hint="eastAsia"/>
              </w:rPr>
              <w:t>その他、評価の手順については、評価基準に従って適正に行われているものと認められた。</w:t>
            </w:r>
          </w:p>
          <w:p w:rsidR="00342C24" w:rsidRPr="00342C24" w:rsidRDefault="00342C24" w:rsidP="0019310A">
            <w:pPr>
              <w:ind w:firstLineChars="100" w:firstLine="210"/>
            </w:pPr>
            <w:r>
              <w:rPr>
                <w:rFonts w:hint="eastAsia"/>
              </w:rPr>
              <w:t>以上のとおり、当該土地は、地方税法及び評価基準に従って適正に評価されており、当該土地に係る評価額は適正と認めるのが相当である。</w:t>
            </w:r>
          </w:p>
        </w:tc>
      </w:tr>
    </w:tbl>
    <w:p w:rsidR="00C85536" w:rsidRDefault="00C85536"/>
    <w:p w:rsidR="00C85536" w:rsidRDefault="00C85536">
      <w:pPr>
        <w:widowControl/>
        <w:jc w:val="left"/>
      </w:pPr>
      <w:bookmarkStart w:id="0" w:name="_GoBack"/>
      <w:bookmarkEnd w:id="0"/>
    </w:p>
    <w:sectPr w:rsidR="00C85536" w:rsidSect="005A7270">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270" w:rsidRDefault="005A7270" w:rsidP="005A7270">
      <w:r>
        <w:separator/>
      </w:r>
    </w:p>
  </w:endnote>
  <w:endnote w:type="continuationSeparator" w:id="0">
    <w:p w:rsidR="005A7270" w:rsidRDefault="005A7270" w:rsidP="005A7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270" w:rsidRDefault="005A7270" w:rsidP="005A7270">
      <w:r>
        <w:separator/>
      </w:r>
    </w:p>
  </w:footnote>
  <w:footnote w:type="continuationSeparator" w:id="0">
    <w:p w:rsidR="005A7270" w:rsidRDefault="005A7270" w:rsidP="005A72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318"/>
    <w:rsid w:val="00001E65"/>
    <w:rsid w:val="000E7799"/>
    <w:rsid w:val="0012712B"/>
    <w:rsid w:val="0019310A"/>
    <w:rsid w:val="00194D82"/>
    <w:rsid w:val="001B7AF0"/>
    <w:rsid w:val="001F3832"/>
    <w:rsid w:val="00241B54"/>
    <w:rsid w:val="00260EAF"/>
    <w:rsid w:val="003402EF"/>
    <w:rsid w:val="00342C24"/>
    <w:rsid w:val="00350833"/>
    <w:rsid w:val="003712FD"/>
    <w:rsid w:val="003B75A4"/>
    <w:rsid w:val="00464A50"/>
    <w:rsid w:val="004D614B"/>
    <w:rsid w:val="005A7270"/>
    <w:rsid w:val="006425B1"/>
    <w:rsid w:val="006751D7"/>
    <w:rsid w:val="006C2318"/>
    <w:rsid w:val="00704D92"/>
    <w:rsid w:val="00717946"/>
    <w:rsid w:val="007D3B5F"/>
    <w:rsid w:val="008B0DB3"/>
    <w:rsid w:val="008F2CC9"/>
    <w:rsid w:val="008F6835"/>
    <w:rsid w:val="009162D0"/>
    <w:rsid w:val="0096663A"/>
    <w:rsid w:val="009853EE"/>
    <w:rsid w:val="009B67E2"/>
    <w:rsid w:val="00BB4FAA"/>
    <w:rsid w:val="00C17956"/>
    <w:rsid w:val="00C26141"/>
    <w:rsid w:val="00C85536"/>
    <w:rsid w:val="00C977E3"/>
    <w:rsid w:val="00D615B4"/>
    <w:rsid w:val="00D768CE"/>
    <w:rsid w:val="00E44C94"/>
    <w:rsid w:val="00F15E72"/>
    <w:rsid w:val="00FB7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C62F77C-CA19-45D0-94E6-55E50DF3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A7270"/>
    <w:pPr>
      <w:tabs>
        <w:tab w:val="center" w:pos="4252"/>
        <w:tab w:val="right" w:pos="8504"/>
      </w:tabs>
      <w:snapToGrid w:val="0"/>
    </w:pPr>
  </w:style>
  <w:style w:type="character" w:customStyle="1" w:styleId="a5">
    <w:name w:val="ヘッダー (文字)"/>
    <w:basedOn w:val="a0"/>
    <w:link w:val="a4"/>
    <w:uiPriority w:val="99"/>
    <w:rsid w:val="005A7270"/>
  </w:style>
  <w:style w:type="paragraph" w:styleId="a6">
    <w:name w:val="footer"/>
    <w:basedOn w:val="a"/>
    <w:link w:val="a7"/>
    <w:uiPriority w:val="99"/>
    <w:unhideWhenUsed/>
    <w:rsid w:val="005A7270"/>
    <w:pPr>
      <w:tabs>
        <w:tab w:val="center" w:pos="4252"/>
        <w:tab w:val="right" w:pos="8504"/>
      </w:tabs>
      <w:snapToGrid w:val="0"/>
    </w:pPr>
  </w:style>
  <w:style w:type="character" w:customStyle="1" w:styleId="a7">
    <w:name w:val="フッター (文字)"/>
    <w:basedOn w:val="a0"/>
    <w:link w:val="a6"/>
    <w:uiPriority w:val="99"/>
    <w:rsid w:val="005A7270"/>
  </w:style>
  <w:style w:type="paragraph" w:styleId="a8">
    <w:name w:val="Balloon Text"/>
    <w:basedOn w:val="a"/>
    <w:link w:val="a9"/>
    <w:uiPriority w:val="99"/>
    <w:semiHidden/>
    <w:unhideWhenUsed/>
    <w:rsid w:val="001F383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F38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1068</TotalTime>
  <Pages>4</Pages>
  <Words>415</Words>
  <Characters>2370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豪佑</dc:creator>
  <cp:keywords/>
  <dc:description/>
  <cp:lastModifiedBy>中村 豪佑</cp:lastModifiedBy>
  <cp:revision>18</cp:revision>
  <cp:lastPrinted>2017-03-21T07:57:00Z</cp:lastPrinted>
  <dcterms:created xsi:type="dcterms:W3CDTF">2016-08-23T04:45:00Z</dcterms:created>
  <dcterms:modified xsi:type="dcterms:W3CDTF">2017-03-21T08:00:00Z</dcterms:modified>
</cp:coreProperties>
</file>